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20" w:lineRule="atLeast"/>
        <w:ind w:right="0"/>
        <w:jc w:val="left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附件2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5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团支部礼仪大赛风采展示部分评分细则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评分要点</w:t>
            </w:r>
          </w:p>
        </w:tc>
        <w:tc>
          <w:tcPr>
            <w:tcW w:w="5963" w:type="dxa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团支部建设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20分</w:t>
            </w:r>
          </w:p>
        </w:tc>
        <w:tc>
          <w:tcPr>
            <w:tcW w:w="596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根据申报书情况，针对各项指标进行评分。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团支部文化建设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20分</w:t>
            </w:r>
          </w:p>
        </w:tc>
        <w:tc>
          <w:tcPr>
            <w:tcW w:w="5963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展现班旗、班徽、班级口号或团支部标识等，要求特色鲜明，积极健康，富有大学生活力和浙大医学特色，展现浙大医学院学生风采。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礼仪风采20分</w:t>
            </w:r>
          </w:p>
        </w:tc>
        <w:tc>
          <w:tcPr>
            <w:tcW w:w="5963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展现出大学生积极健康的风貌，尤其要体现医学生白大褂、社交礼仪规范。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节目设计20分</w:t>
            </w:r>
          </w:p>
        </w:tc>
        <w:tc>
          <w:tcPr>
            <w:tcW w:w="5963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节目设计体现团支部特色，要求体现团支部互帮互助、积极向上的氛围，有教育和激励意义。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人员参与20分</w:t>
            </w:r>
          </w:p>
        </w:tc>
        <w:tc>
          <w:tcPr>
            <w:tcW w:w="596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团支部原则上全员参加，若少一人参加扣0.5分；另外，鼓励班主任老师参加，若班主任老师参加，加2分。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YWYwNTdlMmEzZjVhMzhkNzAyYjgxMmRhZDk4N2IifQ=="/>
  </w:docVars>
  <w:rsids>
    <w:rsidRoot w:val="00000000"/>
    <w:rsid w:val="4DA6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2023-04-26T15:31:35Z</dcterms:created>
  <dc:creator>魏至男</dc:creator>
  <cp:lastModifiedBy>文弱书生</cp:lastModifiedBy>
  <dcterms:modified xsi:type="dcterms:W3CDTF">2023-04-26T15:31:48Z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BEF2B930AE514B33A58D867F9748B580_12</vt:lpwstr>
  </property>
</Properties>
</file>